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3C" w:rsidRDefault="00D1133C">
      <w:pPr>
        <w:rPr>
          <w:rFonts w:ascii="Tahoma" w:hAnsi="Tahoma" w:cs="Tahoma"/>
          <w:b/>
          <w:sz w:val="18"/>
          <w:szCs w:val="18"/>
        </w:rPr>
      </w:pPr>
      <w:bookmarkStart w:id="0" w:name="_GoBack"/>
      <w:bookmarkEnd w:id="0"/>
    </w:p>
    <w:p w:rsidR="00CC5535" w:rsidRDefault="00CC5535" w:rsidP="00CC5535">
      <w:pPr>
        <w:spacing w:before="120" w:after="120"/>
        <w:jc w:val="center"/>
        <w:outlineLvl w:val="0"/>
        <w:rPr>
          <w:rFonts w:ascii="Tahoma" w:hAnsi="Tahoma" w:cs="Tahoma"/>
          <w:b/>
          <w:sz w:val="28"/>
          <w:szCs w:val="28"/>
          <w:lang w:val="tr-TR"/>
        </w:rPr>
      </w:pPr>
      <w:r>
        <w:rPr>
          <w:rFonts w:ascii="Tahoma" w:hAnsi="Tahoma" w:cs="Tahoma"/>
          <w:b/>
          <w:sz w:val="28"/>
          <w:szCs w:val="28"/>
          <w:lang w:val="tr-TR"/>
        </w:rPr>
        <w:t>SİRKÜLER</w:t>
      </w:r>
    </w:p>
    <w:p w:rsidR="00CC5535" w:rsidRDefault="00CC5535" w:rsidP="00CC5535">
      <w:pPr>
        <w:spacing w:before="120" w:after="120"/>
        <w:jc w:val="center"/>
        <w:outlineLvl w:val="0"/>
        <w:rPr>
          <w:rFonts w:ascii="Tahoma" w:hAnsi="Tahoma" w:cs="Tahoma"/>
          <w:b/>
          <w:sz w:val="28"/>
          <w:szCs w:val="28"/>
          <w:lang w:val="tr-TR"/>
        </w:rPr>
      </w:pPr>
      <w:r>
        <w:rPr>
          <w:rFonts w:ascii="Tahoma" w:hAnsi="Tahoma" w:cs="Tahoma"/>
          <w:b/>
          <w:sz w:val="28"/>
          <w:szCs w:val="28"/>
          <w:lang w:val="tr-TR"/>
        </w:rPr>
        <w:t>04/12</w:t>
      </w:r>
    </w:p>
    <w:p w:rsidR="00CC5535" w:rsidRDefault="00CC5535" w:rsidP="000A65F5">
      <w:pPr>
        <w:jc w:val="both"/>
        <w:rPr>
          <w:rFonts w:ascii="Tahoma" w:hAnsi="Tahoma" w:cs="Tahoma"/>
          <w:b/>
          <w:sz w:val="20"/>
          <w:szCs w:val="20"/>
          <w:lang w:val="tr-TR"/>
        </w:rPr>
      </w:pPr>
      <w:r>
        <w:rPr>
          <w:rFonts w:ascii="Tahoma" w:hAnsi="Tahoma" w:cs="Tahoma"/>
          <w:b/>
          <w:sz w:val="20"/>
          <w:szCs w:val="20"/>
          <w:lang w:val="tr-TR"/>
        </w:rPr>
        <w:t xml:space="preserve">           </w:t>
      </w:r>
    </w:p>
    <w:p w:rsidR="00CC5535" w:rsidRDefault="00CC5535" w:rsidP="00CC5535">
      <w:pPr>
        <w:ind w:left="7212"/>
        <w:jc w:val="both"/>
        <w:rPr>
          <w:rFonts w:ascii="Tahoma" w:hAnsi="Tahoma" w:cs="Tahoma"/>
          <w:b/>
          <w:sz w:val="20"/>
          <w:szCs w:val="20"/>
          <w:lang w:val="tr-TR"/>
        </w:rPr>
      </w:pPr>
      <w:r>
        <w:rPr>
          <w:rFonts w:ascii="Tahoma" w:hAnsi="Tahoma" w:cs="Tahoma"/>
          <w:b/>
          <w:sz w:val="20"/>
          <w:szCs w:val="20"/>
          <w:lang w:val="tr-TR"/>
        </w:rPr>
        <w:t xml:space="preserve">  </w:t>
      </w:r>
      <w:r>
        <w:rPr>
          <w:rFonts w:ascii="Tahoma" w:hAnsi="Tahoma" w:cs="Tahoma"/>
          <w:b/>
          <w:sz w:val="20"/>
          <w:szCs w:val="20"/>
          <w:lang w:val="tr-TR"/>
        </w:rPr>
        <w:tab/>
      </w:r>
      <w:r w:rsidR="00292076">
        <w:rPr>
          <w:rFonts w:ascii="Tahoma" w:hAnsi="Tahoma" w:cs="Tahoma"/>
          <w:b/>
          <w:sz w:val="20"/>
          <w:szCs w:val="20"/>
          <w:lang w:val="tr-TR"/>
        </w:rPr>
        <w:t>14</w:t>
      </w:r>
      <w:r>
        <w:rPr>
          <w:rFonts w:ascii="Tahoma" w:hAnsi="Tahoma" w:cs="Tahoma"/>
          <w:b/>
          <w:sz w:val="20"/>
          <w:szCs w:val="20"/>
          <w:lang w:val="tr-TR"/>
        </w:rPr>
        <w:t>/04/2016</w:t>
      </w:r>
    </w:p>
    <w:p w:rsidR="00CC5535" w:rsidRPr="00714AA2" w:rsidRDefault="00CC5535" w:rsidP="00CC5535">
      <w:pPr>
        <w:ind w:left="7212"/>
        <w:jc w:val="both"/>
        <w:rPr>
          <w:rFonts w:ascii="Tahoma" w:hAnsi="Tahoma" w:cs="Tahoma"/>
          <w:b/>
          <w:sz w:val="20"/>
          <w:szCs w:val="20"/>
          <w:lang w:val="tr-TR"/>
        </w:rPr>
      </w:pPr>
    </w:p>
    <w:p w:rsidR="00CC5535" w:rsidRPr="00714AA2" w:rsidRDefault="00CC5535" w:rsidP="00CC5535">
      <w:pPr>
        <w:spacing w:before="120" w:after="120"/>
        <w:rPr>
          <w:rFonts w:ascii="Tahoma" w:hAnsi="Tahoma" w:cs="Tahoma"/>
          <w:b/>
          <w:bCs/>
          <w:sz w:val="20"/>
          <w:szCs w:val="20"/>
          <w:u w:val="single"/>
          <w:lang w:val="tr-TR" w:eastAsia="tr-TR"/>
        </w:rPr>
      </w:pPr>
      <w:r w:rsidRPr="00714AA2">
        <w:rPr>
          <w:rFonts w:ascii="Tahoma" w:hAnsi="Tahoma" w:cs="Tahoma"/>
          <w:b/>
          <w:bCs/>
          <w:sz w:val="20"/>
          <w:szCs w:val="20"/>
          <w:u w:val="single"/>
          <w:lang w:val="tr-TR" w:eastAsia="tr-TR"/>
        </w:rPr>
        <w:t xml:space="preserve">KONU: </w:t>
      </w:r>
    </w:p>
    <w:p w:rsidR="005938E2" w:rsidRDefault="00CC5535" w:rsidP="005F0798">
      <w:pPr>
        <w:jc w:val="both"/>
        <w:rPr>
          <w:rFonts w:ascii="Tahoma" w:hAnsi="Tahoma" w:cs="Tahoma"/>
          <w:b/>
          <w:color w:val="000000"/>
          <w:sz w:val="18"/>
          <w:szCs w:val="18"/>
        </w:rPr>
      </w:pPr>
      <w:r>
        <w:rPr>
          <w:rFonts w:ascii="Tahoma" w:hAnsi="Tahoma" w:cs="Tahoma"/>
          <w:b/>
          <w:sz w:val="18"/>
          <w:szCs w:val="18"/>
        </w:rPr>
        <w:t>*</w:t>
      </w:r>
      <w:r w:rsidR="00E21FE5">
        <w:rPr>
          <w:rFonts w:ascii="Tahoma" w:hAnsi="Tahoma" w:cs="Tahoma"/>
          <w:b/>
          <w:color w:val="000000"/>
          <w:sz w:val="18"/>
          <w:szCs w:val="18"/>
        </w:rPr>
        <w:t xml:space="preserve">Mali Tatil Uygulaması Hakkında 1 Sıra Nolu Tebliğde Değişiklik Yapan 2 Sıra Nolu Tebliğ Yayımlandı. </w:t>
      </w:r>
    </w:p>
    <w:p w:rsidR="00CC5535" w:rsidRDefault="00CC5535" w:rsidP="005F0798">
      <w:pPr>
        <w:jc w:val="both"/>
        <w:rPr>
          <w:rFonts w:ascii="Tahoma" w:hAnsi="Tahoma" w:cs="Tahoma"/>
          <w:b/>
          <w:color w:val="000000"/>
          <w:sz w:val="18"/>
          <w:szCs w:val="18"/>
        </w:rPr>
      </w:pPr>
    </w:p>
    <w:p w:rsidR="00CC5535" w:rsidRDefault="00CC5535" w:rsidP="00CC5535">
      <w:pPr>
        <w:jc w:val="both"/>
        <w:rPr>
          <w:rFonts w:ascii="Tahoma" w:hAnsi="Tahoma" w:cs="Tahoma"/>
          <w:b/>
          <w:color w:val="000000"/>
          <w:sz w:val="20"/>
          <w:szCs w:val="20"/>
          <w:u w:val="single"/>
        </w:rPr>
      </w:pPr>
    </w:p>
    <w:p w:rsidR="00CC5535" w:rsidRPr="00CC5535" w:rsidRDefault="00CC5535" w:rsidP="00CC5535">
      <w:pPr>
        <w:jc w:val="both"/>
        <w:rPr>
          <w:rFonts w:ascii="Tahoma" w:hAnsi="Tahoma" w:cs="Tahoma"/>
          <w:b/>
          <w:color w:val="000000"/>
          <w:sz w:val="20"/>
          <w:szCs w:val="20"/>
          <w:u w:val="single"/>
        </w:rPr>
      </w:pPr>
      <w:r>
        <w:rPr>
          <w:rFonts w:ascii="Tahoma" w:hAnsi="Tahoma" w:cs="Tahoma"/>
          <w:b/>
          <w:color w:val="000000"/>
          <w:sz w:val="20"/>
          <w:szCs w:val="20"/>
          <w:u w:val="single"/>
        </w:rPr>
        <w:t>MALİ TATİ</w:t>
      </w:r>
      <w:r w:rsidRPr="00CC5535">
        <w:rPr>
          <w:rFonts w:ascii="Tahoma" w:hAnsi="Tahoma" w:cs="Tahoma"/>
          <w:b/>
          <w:color w:val="000000"/>
          <w:sz w:val="20"/>
          <w:szCs w:val="20"/>
          <w:u w:val="single"/>
        </w:rPr>
        <w:t>L UYGUL</w:t>
      </w:r>
      <w:r>
        <w:rPr>
          <w:rFonts w:ascii="Tahoma" w:hAnsi="Tahoma" w:cs="Tahoma"/>
          <w:b/>
          <w:color w:val="000000"/>
          <w:sz w:val="20"/>
          <w:szCs w:val="20"/>
          <w:u w:val="single"/>
        </w:rPr>
        <w:t>AMASI HAKKINDA 1 SIRA NOLU TEBLİĞDE DEĞİŞİKLİ</w:t>
      </w:r>
      <w:r w:rsidRPr="00CC5535">
        <w:rPr>
          <w:rFonts w:ascii="Tahoma" w:hAnsi="Tahoma" w:cs="Tahoma"/>
          <w:b/>
          <w:color w:val="000000"/>
          <w:sz w:val="20"/>
          <w:szCs w:val="20"/>
          <w:u w:val="single"/>
        </w:rPr>
        <w:t>K YA</w:t>
      </w:r>
      <w:r>
        <w:rPr>
          <w:rFonts w:ascii="Tahoma" w:hAnsi="Tahoma" w:cs="Tahoma"/>
          <w:b/>
          <w:color w:val="000000"/>
          <w:sz w:val="20"/>
          <w:szCs w:val="20"/>
          <w:u w:val="single"/>
        </w:rPr>
        <w:t>PAN 2 SIRA NOLU TEBLİĞ YAYIMLANDI:</w:t>
      </w:r>
    </w:p>
    <w:p w:rsidR="00171AE6" w:rsidRPr="000E7BD7" w:rsidRDefault="00171AE6" w:rsidP="000E7BD7">
      <w:pPr>
        <w:pStyle w:val="NormalWeb"/>
        <w:shd w:val="clear" w:color="auto" w:fill="FFFFFF"/>
        <w:spacing w:before="240" w:after="240"/>
        <w:jc w:val="both"/>
        <w:rPr>
          <w:rFonts w:ascii="Tahoma" w:hAnsi="Tahoma" w:cs="Tahoma"/>
          <w:color w:val="000000"/>
        </w:rPr>
      </w:pPr>
      <w:r w:rsidRPr="00171AE6">
        <w:rPr>
          <w:rFonts w:ascii="Tahoma" w:hAnsi="Tahoma" w:cs="Tahoma"/>
        </w:rPr>
        <w:t>27 Ocak 2016 tarihli Resmi Gazetede yayımlanan 6661 sayılı Kanunla 5604 sayıl</w:t>
      </w:r>
      <w:r w:rsidR="000E7BD7">
        <w:rPr>
          <w:rFonts w:ascii="Tahoma" w:hAnsi="Tahoma" w:cs="Tahoma"/>
        </w:rPr>
        <w:t xml:space="preserve">ı Mali Tatil ile ilgili Kanunun </w:t>
      </w:r>
      <w:r w:rsidR="000E7BD7">
        <w:rPr>
          <w:rFonts w:ascii="Tahoma" w:hAnsi="Tahoma" w:cs="Tahoma"/>
          <w:color w:val="000000"/>
        </w:rPr>
        <w:t xml:space="preserve">1. maddesinin 6,7 ve 8. fıkralarında değişiklikler yapılmıştır. </w:t>
      </w:r>
      <w:r>
        <w:rPr>
          <w:rFonts w:ascii="Tahoma" w:hAnsi="Tahoma" w:cs="Tahoma"/>
        </w:rPr>
        <w:t>Yapılan değişiklikler 01.02.2016 tarih ve 02</w:t>
      </w:r>
      <w:r w:rsidR="000E7BD7">
        <w:rPr>
          <w:rFonts w:ascii="Tahoma" w:hAnsi="Tahoma" w:cs="Tahoma"/>
        </w:rPr>
        <w:t xml:space="preserve">/01 sayılı sirkülerimiz ile duyurulmuştu. </w:t>
      </w:r>
    </w:p>
    <w:p w:rsidR="000E7BD7" w:rsidRPr="000E7BD7" w:rsidRDefault="000E7BD7" w:rsidP="00171AE6">
      <w:pPr>
        <w:spacing w:before="100" w:beforeAutospacing="1" w:after="100" w:afterAutospacing="1"/>
        <w:jc w:val="both"/>
        <w:rPr>
          <w:rFonts w:ascii="Tahoma" w:hAnsi="Tahoma" w:cs="Tahoma"/>
          <w:b/>
          <w:sz w:val="20"/>
          <w:szCs w:val="20"/>
          <w:u w:val="single"/>
          <w:lang w:val="tr-TR" w:eastAsia="tr-TR"/>
        </w:rPr>
      </w:pPr>
      <w:r w:rsidRPr="000E7BD7">
        <w:rPr>
          <w:rFonts w:ascii="Tahoma" w:hAnsi="Tahoma" w:cs="Tahoma"/>
          <w:b/>
          <w:sz w:val="20"/>
          <w:szCs w:val="20"/>
          <w:u w:val="single"/>
          <w:lang w:val="tr-TR" w:eastAsia="tr-TR"/>
        </w:rPr>
        <w:t xml:space="preserve">Kanunda yapılan değişiklikler aşağıdaki gibidir; </w:t>
      </w:r>
    </w:p>
    <w:p w:rsidR="000E7BD7" w:rsidRDefault="000E7BD7" w:rsidP="000E7BD7">
      <w:pPr>
        <w:spacing w:before="240" w:after="240"/>
        <w:ind w:firstLine="720"/>
        <w:jc w:val="both"/>
        <w:rPr>
          <w:rFonts w:ascii="Tahoma" w:hAnsi="Tahoma" w:cs="Tahoma"/>
          <w:color w:val="000000"/>
          <w:sz w:val="20"/>
          <w:szCs w:val="20"/>
        </w:rPr>
      </w:pPr>
      <w:r>
        <w:rPr>
          <w:rFonts w:ascii="Tahoma" w:hAnsi="Tahoma" w:cs="Tahoma"/>
          <w:color w:val="000000"/>
          <w:sz w:val="20"/>
          <w:szCs w:val="20"/>
        </w:rPr>
        <w:t>-M</w:t>
      </w:r>
      <w:r w:rsidRPr="00B573F9">
        <w:rPr>
          <w:rFonts w:ascii="Tahoma" w:hAnsi="Tahoma" w:cs="Tahoma"/>
          <w:color w:val="000000"/>
          <w:sz w:val="20"/>
          <w:szCs w:val="20"/>
        </w:rPr>
        <w:t xml:space="preserve">ali tatilin bitiminden sonra 7 gün olarak uzayan süreler kısaltılarak 5 güne düşürülmektedir. </w:t>
      </w:r>
    </w:p>
    <w:p w:rsidR="000E7BD7" w:rsidRDefault="000E7BD7" w:rsidP="000E7BD7">
      <w:pPr>
        <w:spacing w:before="240" w:after="240"/>
        <w:ind w:left="720"/>
        <w:jc w:val="both"/>
        <w:rPr>
          <w:rFonts w:ascii="Tahoma" w:hAnsi="Tahoma" w:cs="Tahoma"/>
          <w:sz w:val="20"/>
          <w:szCs w:val="20"/>
        </w:rPr>
      </w:pPr>
      <w:r>
        <w:rPr>
          <w:rFonts w:ascii="Tahoma" w:hAnsi="Tahoma" w:cs="Tahoma"/>
          <w:color w:val="000000"/>
          <w:sz w:val="20"/>
          <w:szCs w:val="20"/>
        </w:rPr>
        <w:t xml:space="preserve">-İkinci önemli değişiklik mali tatil uygulanmayan vergilerin kapsamı genişletilmiştir. </w:t>
      </w:r>
      <w:r w:rsidRPr="001353DF">
        <w:rPr>
          <w:rFonts w:ascii="Tahoma" w:hAnsi="Tahoma" w:cs="Tahoma"/>
          <w:sz w:val="20"/>
          <w:szCs w:val="20"/>
        </w:rPr>
        <w:t>Özel tüketim vergisi, banka ve sigorta muameleleri vergisi, özel iletişim vergisi, şans oyunları vergisi</w:t>
      </w:r>
      <w:r>
        <w:rPr>
          <w:rFonts w:ascii="Tahoma" w:hAnsi="Tahoma" w:cs="Tahoma"/>
          <w:sz w:val="20"/>
          <w:szCs w:val="20"/>
        </w:rPr>
        <w:t xml:space="preserve"> mali tatil kapsamından çıkarılmıştır. </w:t>
      </w:r>
    </w:p>
    <w:p w:rsidR="00DC6872" w:rsidRDefault="000E7BD7" w:rsidP="00DC6872">
      <w:pPr>
        <w:spacing w:before="240" w:after="240"/>
        <w:ind w:left="720"/>
        <w:jc w:val="both"/>
        <w:rPr>
          <w:rFonts w:ascii="Tahoma" w:hAnsi="Tahoma" w:cs="Tahoma"/>
          <w:sz w:val="20"/>
          <w:szCs w:val="20"/>
          <w:lang w:val="tr-TR" w:eastAsia="tr-TR"/>
        </w:rPr>
      </w:pPr>
      <w:r>
        <w:rPr>
          <w:rFonts w:ascii="Tahoma" w:hAnsi="Tahoma" w:cs="Tahoma"/>
          <w:sz w:val="20"/>
          <w:szCs w:val="20"/>
        </w:rPr>
        <w:t>-</w:t>
      </w:r>
      <w:r w:rsidR="00DC6872" w:rsidRPr="00DC6872">
        <w:rPr>
          <w:rFonts w:ascii="Tahoma" w:hAnsi="Tahoma" w:cs="Tahoma"/>
          <w:sz w:val="20"/>
          <w:szCs w:val="20"/>
          <w:lang w:val="tr-TR" w:eastAsia="tr-TR"/>
        </w:rPr>
        <w:t xml:space="preserve"> </w:t>
      </w:r>
      <w:r w:rsidR="00DC6872" w:rsidRPr="000E7BD7">
        <w:rPr>
          <w:rFonts w:ascii="Tahoma" w:hAnsi="Tahoma" w:cs="Tahoma"/>
          <w:sz w:val="20"/>
          <w:szCs w:val="20"/>
          <w:lang w:val="tr-TR" w:eastAsia="tr-TR"/>
        </w:rPr>
        <w:t>Beyana dayanan ve beyanname verme süresi malî tatil nedeniyle uzamış olan vergilerde ödeme süresi (aynı ay içerisinde kalmak kaydıyla), uzayan beyanname verme süresinin son gününü izleyen günün mesai saat</w:t>
      </w:r>
      <w:r w:rsidR="00DC6872">
        <w:rPr>
          <w:rFonts w:ascii="Tahoma" w:hAnsi="Tahoma" w:cs="Tahoma"/>
          <w:sz w:val="20"/>
          <w:szCs w:val="20"/>
          <w:lang w:val="tr-TR" w:eastAsia="tr-TR"/>
        </w:rPr>
        <w:t xml:space="preserve">i bitimine kadar uzamış saymaktadır. </w:t>
      </w:r>
    </w:p>
    <w:p w:rsidR="000E7BD7" w:rsidRPr="000E7BD7" w:rsidRDefault="000E7BD7" w:rsidP="000E7BD7">
      <w:pPr>
        <w:spacing w:before="240" w:after="240"/>
        <w:jc w:val="both"/>
        <w:rPr>
          <w:rFonts w:ascii="Tahoma" w:hAnsi="Tahoma" w:cs="Tahoma"/>
          <w:b/>
          <w:color w:val="000000"/>
          <w:sz w:val="20"/>
          <w:szCs w:val="20"/>
        </w:rPr>
      </w:pPr>
      <w:r w:rsidRPr="00432DC9">
        <w:rPr>
          <w:rFonts w:ascii="Tahoma" w:hAnsi="Tahoma" w:cs="Tahoma"/>
          <w:color w:val="000000"/>
          <w:sz w:val="18"/>
          <w:szCs w:val="18"/>
        </w:rPr>
        <w:t xml:space="preserve">Bu </w:t>
      </w:r>
      <w:r w:rsidRPr="00432DC9">
        <w:rPr>
          <w:rFonts w:ascii="Tahoma" w:hAnsi="Tahoma" w:cs="Tahoma"/>
          <w:color w:val="000000"/>
          <w:sz w:val="20"/>
          <w:szCs w:val="20"/>
        </w:rPr>
        <w:t>defa kanunda yapılan değişiklikler doğrultusunda</w:t>
      </w:r>
      <w:r>
        <w:rPr>
          <w:rFonts w:ascii="Tahoma" w:hAnsi="Tahoma" w:cs="Tahoma"/>
          <w:b/>
          <w:color w:val="000000"/>
          <w:sz w:val="20"/>
          <w:szCs w:val="20"/>
        </w:rPr>
        <w:t xml:space="preserve"> </w:t>
      </w:r>
      <w:r w:rsidR="00E21FE5" w:rsidRPr="000E7BD7">
        <w:rPr>
          <w:rFonts w:ascii="Tahoma" w:hAnsi="Tahoma" w:cs="Tahoma"/>
          <w:sz w:val="20"/>
          <w:szCs w:val="20"/>
        </w:rPr>
        <w:t xml:space="preserve">Mali Tatil Uygulaması Hakkında Genel Tebliğ (Sıra No: 1)’de </w:t>
      </w:r>
      <w:r>
        <w:rPr>
          <w:rFonts w:ascii="Tahoma" w:hAnsi="Tahoma" w:cs="Tahoma"/>
          <w:sz w:val="20"/>
          <w:szCs w:val="20"/>
        </w:rPr>
        <w:t xml:space="preserve">değişiklik yapan 2 sıra nolu Tebliğ 10.04.2016 tarihli Resmi Gazetede yayımlanmıştır. </w:t>
      </w:r>
    </w:p>
    <w:p w:rsidR="00E21FE5" w:rsidRPr="00031F56" w:rsidRDefault="00031F56" w:rsidP="000A65F5">
      <w:pPr>
        <w:pStyle w:val="NormalWeb"/>
        <w:shd w:val="clear" w:color="auto" w:fill="FFFFFF"/>
        <w:spacing w:before="240" w:after="240"/>
        <w:jc w:val="both"/>
        <w:rPr>
          <w:rFonts w:ascii="Arial" w:hAnsi="Arial" w:cs="Arial"/>
          <w:b/>
          <w:u w:val="single"/>
        </w:rPr>
      </w:pPr>
      <w:r w:rsidRPr="00031F56">
        <w:rPr>
          <w:rFonts w:ascii="Arial" w:hAnsi="Arial" w:cs="Arial"/>
          <w:b/>
          <w:u w:val="single"/>
        </w:rPr>
        <w:t xml:space="preserve">1 Sıra nolu </w:t>
      </w:r>
      <w:r w:rsidR="00E21FE5" w:rsidRPr="00031F56">
        <w:rPr>
          <w:rFonts w:ascii="Arial" w:hAnsi="Arial" w:cs="Arial"/>
          <w:b/>
          <w:u w:val="single"/>
        </w:rPr>
        <w:t>Mali Tatil Uygulamas</w:t>
      </w:r>
      <w:r w:rsidRPr="00031F56">
        <w:rPr>
          <w:rFonts w:ascii="Arial" w:hAnsi="Arial" w:cs="Arial"/>
          <w:b/>
          <w:u w:val="single"/>
        </w:rPr>
        <w:t>ı Hakkında Genel Tebliğ’in;</w:t>
      </w:r>
    </w:p>
    <w:p w:rsidR="00E21FE5" w:rsidRPr="00E21FE5" w:rsidRDefault="00E21FE5" w:rsidP="000A65F5">
      <w:pPr>
        <w:pStyle w:val="NormalWeb"/>
        <w:shd w:val="clear" w:color="auto" w:fill="FFFFFF"/>
        <w:spacing w:before="240" w:after="240"/>
        <w:ind w:firstLine="720"/>
        <w:jc w:val="both"/>
        <w:rPr>
          <w:rFonts w:ascii="Arial" w:hAnsi="Arial" w:cs="Arial"/>
        </w:rPr>
      </w:pPr>
      <w:r w:rsidRPr="00E21FE5">
        <w:rPr>
          <w:rFonts w:ascii="Arial" w:hAnsi="Arial" w:cs="Arial"/>
        </w:rPr>
        <w:t>-“Mali tatil kapsamında olmayan süreler” başlıklı üçüncü bölümünün birinci ve ikinci paragrafları değiş</w:t>
      </w:r>
      <w:r w:rsidR="00C60C0A">
        <w:rPr>
          <w:rFonts w:ascii="Arial" w:hAnsi="Arial" w:cs="Arial"/>
        </w:rPr>
        <w:t>tirilmiş ve yeni örnek eklenmiştir,</w:t>
      </w:r>
    </w:p>
    <w:p w:rsidR="00E21FE5" w:rsidRPr="00E21FE5" w:rsidRDefault="00E21FE5" w:rsidP="000A65F5">
      <w:pPr>
        <w:pStyle w:val="NormalWeb"/>
        <w:shd w:val="clear" w:color="auto" w:fill="FFFFFF"/>
        <w:spacing w:before="240" w:after="240"/>
        <w:ind w:firstLine="720"/>
        <w:jc w:val="both"/>
        <w:rPr>
          <w:rFonts w:ascii="Arial" w:hAnsi="Arial" w:cs="Arial"/>
        </w:rPr>
      </w:pPr>
      <w:r w:rsidRPr="00E21FE5">
        <w:rPr>
          <w:rFonts w:ascii="Arial" w:hAnsi="Arial" w:cs="Arial"/>
        </w:rPr>
        <w:t xml:space="preserve">-Sekizinci bölümü “Mali tatilin sona erdiği günü izleyen beş gün içinde biten kanuni ve idari süreler”  başlığı </w:t>
      </w:r>
      <w:r w:rsidR="00C60C0A">
        <w:rPr>
          <w:rFonts w:ascii="Arial" w:hAnsi="Arial" w:cs="Arial"/>
        </w:rPr>
        <w:t>altında bütünüyle değiştirilmiştir,</w:t>
      </w:r>
    </w:p>
    <w:p w:rsidR="00E21FE5" w:rsidRPr="00E21FE5" w:rsidRDefault="00E21FE5" w:rsidP="000A65F5">
      <w:pPr>
        <w:pStyle w:val="NormalWeb"/>
        <w:shd w:val="clear" w:color="auto" w:fill="FFFFFF"/>
        <w:spacing w:before="240" w:after="240"/>
        <w:ind w:firstLine="720"/>
        <w:jc w:val="both"/>
        <w:rPr>
          <w:rFonts w:ascii="Arial" w:hAnsi="Arial" w:cs="Arial"/>
        </w:rPr>
      </w:pPr>
      <w:r w:rsidRPr="00E21FE5">
        <w:rPr>
          <w:rFonts w:ascii="Arial" w:hAnsi="Arial" w:cs="Arial"/>
        </w:rPr>
        <w:t>-“Beyanname verme süresi mali tatil nedeniyle uzamış olan vergilerde ödeme süresi” başlıklı dokuzuncu bölümünün birinci ve ikinci paragrafları değ</w:t>
      </w:r>
      <w:r w:rsidR="00C60C0A">
        <w:rPr>
          <w:rFonts w:ascii="Arial" w:hAnsi="Arial" w:cs="Arial"/>
        </w:rPr>
        <w:t>iştirilmiş ve örnekler eklenmiştir,</w:t>
      </w:r>
    </w:p>
    <w:p w:rsidR="00E21FE5" w:rsidRPr="00E21FE5" w:rsidRDefault="00E21FE5" w:rsidP="000A65F5">
      <w:pPr>
        <w:pStyle w:val="NormalWeb"/>
        <w:shd w:val="clear" w:color="auto" w:fill="FFFFFF"/>
        <w:spacing w:before="240" w:after="240"/>
        <w:ind w:firstLine="720"/>
        <w:jc w:val="both"/>
        <w:rPr>
          <w:rFonts w:ascii="Arial" w:hAnsi="Arial" w:cs="Arial"/>
        </w:rPr>
      </w:pPr>
      <w:r w:rsidRPr="00E21FE5">
        <w:rPr>
          <w:rFonts w:ascii="Arial" w:hAnsi="Arial" w:cs="Arial"/>
        </w:rPr>
        <w:t>-“Diğer Hususlar” başlıklı onuncu bölümü bütünüyle değiştirilmiştir.</w:t>
      </w:r>
    </w:p>
    <w:p w:rsidR="00E21FE5" w:rsidRPr="00E21FE5" w:rsidRDefault="000E7BD7" w:rsidP="00E21FE5">
      <w:pPr>
        <w:pStyle w:val="NormalWeb"/>
        <w:shd w:val="clear" w:color="auto" w:fill="FFFFFF"/>
        <w:spacing w:before="0" w:after="300" w:line="330" w:lineRule="atLeast"/>
        <w:jc w:val="both"/>
        <w:rPr>
          <w:rFonts w:ascii="Arial" w:hAnsi="Arial" w:cs="Arial"/>
        </w:rPr>
      </w:pPr>
      <w:r>
        <w:rPr>
          <w:rFonts w:ascii="Arial" w:hAnsi="Arial" w:cs="Arial"/>
        </w:rPr>
        <w:t xml:space="preserve">Söz konusu Tebliğ aşağıdadır. </w:t>
      </w:r>
    </w:p>
    <w:p w:rsidR="005F0798" w:rsidRPr="005F0798" w:rsidRDefault="005F0798" w:rsidP="005F0798">
      <w:pPr>
        <w:rPr>
          <w:rFonts w:ascii="Tahoma" w:hAnsi="Tahoma" w:cs="Tahoma"/>
          <w:b/>
          <w:color w:val="808080"/>
          <w:sz w:val="18"/>
          <w:szCs w:val="18"/>
          <w:lang w:val="tr-TR"/>
        </w:rPr>
      </w:pPr>
    </w:p>
    <w:p w:rsidR="005938E2" w:rsidRPr="00CC5535" w:rsidRDefault="00CC5535">
      <w:pPr>
        <w:rPr>
          <w:rFonts w:ascii="Tahoma" w:hAnsi="Tahoma" w:cs="Tahoma"/>
          <w:b/>
          <w:sz w:val="18"/>
          <w:szCs w:val="18"/>
          <w:lang w:val="tr-TR"/>
        </w:rPr>
      </w:pPr>
      <w:r w:rsidRPr="00CC5535">
        <w:rPr>
          <w:rFonts w:ascii="Tahoma" w:hAnsi="Tahoma" w:cs="Tahoma"/>
          <w:b/>
          <w:sz w:val="18"/>
          <w:szCs w:val="18"/>
          <w:lang w:val="tr-TR"/>
        </w:rPr>
        <w:t xml:space="preserve">Saygılarımızla, </w:t>
      </w:r>
    </w:p>
    <w:p w:rsidR="005938E2" w:rsidRDefault="005938E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CC5535" w:rsidRPr="00322CAB" w:rsidRDefault="00CC5535" w:rsidP="00CC5535">
      <w:pPr>
        <w:spacing w:line="330" w:lineRule="atLeast"/>
        <w:jc w:val="both"/>
        <w:rPr>
          <w:b/>
          <w:bCs/>
          <w:lang w:val="tr-TR" w:eastAsia="tr-TR"/>
        </w:rPr>
      </w:pPr>
      <w:r w:rsidRPr="00322CAB">
        <w:rPr>
          <w:b/>
          <w:bCs/>
          <w:lang w:val="tr-TR" w:eastAsia="tr-TR"/>
        </w:rPr>
        <w:t xml:space="preserve">MALİ TATİL UYGULAMASI HAKKINDA GENEL TEBLİĞ (SIRA NO:1)’DE DEĞİŞİKLİK YAPILMASINA DAİR TEBLİĞ (SIRA NO:2) </w:t>
      </w:r>
    </w:p>
    <w:p w:rsidR="00CC5535" w:rsidRPr="00322CAB" w:rsidRDefault="00CC5535" w:rsidP="00CC5535">
      <w:pPr>
        <w:spacing w:line="330" w:lineRule="atLeast"/>
        <w:jc w:val="both"/>
        <w:rPr>
          <w:b/>
          <w:bCs/>
          <w:lang w:val="tr-TR" w:eastAsia="tr-TR"/>
        </w:rPr>
      </w:pPr>
    </w:p>
    <w:p w:rsidR="000E7BD7" w:rsidRPr="00322CAB" w:rsidRDefault="000E7BD7" w:rsidP="000E7BD7">
      <w:pPr>
        <w:spacing w:line="330" w:lineRule="atLeast"/>
        <w:rPr>
          <w:b/>
          <w:bCs/>
          <w:lang w:val="tr-TR" w:eastAsia="tr-TR"/>
        </w:rPr>
      </w:pPr>
      <w:r w:rsidRPr="00322CAB">
        <w:rPr>
          <w:b/>
          <w:bCs/>
          <w:lang w:val="tr-TR" w:eastAsia="tr-TR"/>
        </w:rPr>
        <w:t xml:space="preserve">Resmi Gazete No:  </w:t>
      </w:r>
      <w:r w:rsidRPr="00322CAB">
        <w:rPr>
          <w:lang w:val="tr-TR" w:eastAsia="tr-TR"/>
        </w:rPr>
        <w:t>29680</w:t>
      </w:r>
    </w:p>
    <w:p w:rsidR="000E7BD7" w:rsidRPr="00322CAB" w:rsidRDefault="000E7BD7" w:rsidP="000E7BD7">
      <w:pPr>
        <w:spacing w:line="330" w:lineRule="atLeast"/>
        <w:rPr>
          <w:lang w:val="tr-TR" w:eastAsia="tr-TR"/>
        </w:rPr>
      </w:pPr>
      <w:r w:rsidRPr="00322CAB">
        <w:rPr>
          <w:b/>
          <w:bCs/>
          <w:lang w:val="tr-TR" w:eastAsia="tr-TR"/>
        </w:rPr>
        <w:t xml:space="preserve">Resmi Gazete Tarihi:  </w:t>
      </w:r>
      <w:r w:rsidRPr="00322CAB">
        <w:rPr>
          <w:lang w:val="tr-TR" w:eastAsia="tr-TR"/>
        </w:rPr>
        <w:t>10/04/2016</w:t>
      </w:r>
    </w:p>
    <w:p w:rsidR="000E7BD7" w:rsidRPr="00322CAB" w:rsidRDefault="000E7BD7" w:rsidP="000E7BD7">
      <w:pPr>
        <w:spacing w:line="330" w:lineRule="atLeast"/>
        <w:rPr>
          <w:b/>
          <w:bCs/>
          <w:lang w:val="tr-TR" w:eastAsia="tr-TR"/>
        </w:rPr>
      </w:pP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MADDE 1 –</w:t>
      </w:r>
      <w:r w:rsidRPr="00322CAB">
        <w:rPr>
          <w:lang w:val="tr-TR" w:eastAsia="tr-TR"/>
        </w:rPr>
        <w:t> 30/6/2007 tarihli ve 26568 sayılı Resmî Gazete’de yayımlanan Mali Tatil Uygulaması Hakkında Genel Tebliğ (Sıra No:1)’in “3. Mali tatil kapsamında olmayan süreler” başlıklı bölümünün birinci ve ikinci paragrafları aşağıdaki şekilde değiştirilmiş ve ikinci paragraftan sonra gelmek üzere aşağıdaki örnek eklenmiştir.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“14/1/2016 tarihli ve 6661 sayılı Askerlik Kanunu ve Bazı Kanunlarda Değişiklik Yapılmasına Dair Kanun ile 15/3/2007 tarihli ve 5604 sayılı Malî Tatil İhdas Edilmesi Hakkında Kanunun 1 inci maddesinin yedinci fıkrasında yer alan hüküm, “Özel tüketim vergisi, banka ve sigorta muameleleri vergisi, özel iletişim vergisi, şans oyunları vergisi ile gümrük idareleri, il özel idareleri ve belediyeler tarafından tarh ve/veya tahsil edilen vergi, resim ve harçlarla ilgili olarak malî tatil uygulanmaz.” şeklinde değiştirilmiş ve söz konusu değişiklik 27/1/2016 tarihinde yürürlüğe girmiştir.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Söz konusu hükme göre, özel tüketim vergisi, banka ve sigorta muameleleri vergisi, özel iletişim vergisi, şans oyunları vergisi ile gümrük idareleri, il özel idareleri ve belediyeler tarafından tarh ve/veya tahsil edilen vergi, resim ve harçlar (ithalde alınan katma değer vergisi, emlak vergisi, çevre temizlik vergisi gibi) hakkında mali tatil uygulanmayacaktır.”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w:t>
      </w:r>
      <w:r w:rsidRPr="00322CAB">
        <w:rPr>
          <w:b/>
          <w:bCs/>
          <w:lang w:val="tr-TR" w:eastAsia="tr-TR"/>
        </w:rPr>
        <w:t>Örnek:</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Mükellef (L) tarafından Haziran/2016 döneminde satışı yapılan dayanıklı tüketim ve diğer mallara ilişkin özel tüketim vergisi beyannamesinin 15 Temmuz 2016 tarihine kadar (bu tarih dahil) bağlı olduğu vergi dairesine verilmesi gerekmekte olup özel tüketim vergisi mali tatil kapsamında olmadığından beyan ve ödeme süresinin mali tatil nedeniyle uzaması söz konusu değildir.”</w:t>
      </w: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MADDE 2 –</w:t>
      </w:r>
      <w:r w:rsidRPr="00322CAB">
        <w:rPr>
          <w:lang w:val="tr-TR" w:eastAsia="tr-TR"/>
        </w:rPr>
        <w:t> Aynı Tebliğin 8 inci bölümü başlığı ile birlikte aşağıdaki şekilde değiştirilmiştir.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w:t>
      </w:r>
      <w:r w:rsidRPr="00322CAB">
        <w:rPr>
          <w:b/>
          <w:bCs/>
          <w:lang w:val="tr-TR" w:eastAsia="tr-TR"/>
        </w:rPr>
        <w:t>8. Mali tatilin sona erdiği günü izleyen beş gün içinde biten kanuni ve idari süreler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6661 sayılı Kanun ile 5604 sayılı Kanunun 1 inci maddesinin altıncı fıkrasında yer alan hüküm, "Malî tatilin sona erdiği günü izleyen beş gün içinde biten bu madde kapsamındaki kanuni ve idari süreler, malî tatilin son gününü izleyen tarihten itibaren beşinci günün mesai saati bitiminde sona ermiş sayılır." şeklinde değiştirilmiştir.</w:t>
      </w:r>
    </w:p>
    <w:p w:rsidR="00CC5535" w:rsidRPr="00322CAB" w:rsidRDefault="000E7BD7" w:rsidP="000E7BD7">
      <w:pPr>
        <w:shd w:val="clear" w:color="auto" w:fill="FFFFFF"/>
        <w:spacing w:after="150" w:line="330" w:lineRule="atLeast"/>
        <w:jc w:val="both"/>
        <w:rPr>
          <w:lang w:val="tr-TR" w:eastAsia="tr-TR"/>
        </w:rPr>
      </w:pPr>
      <w:r w:rsidRPr="00322CAB">
        <w:rPr>
          <w:lang w:val="tr-TR" w:eastAsia="tr-TR"/>
        </w:rPr>
        <w:lastRenderedPageBreak/>
        <w:t>Söz konusu hükme göre, mali tatilin sona erdiği günü izleyen beş gün içinde biten kanuni ve idari süreler, tatilin son gününü izleyen tarihten itibaren beşinci günün mesai</w:t>
      </w:r>
      <w:r w:rsidR="003C3E12">
        <w:rPr>
          <w:lang w:val="tr-TR" w:eastAsia="tr-TR"/>
        </w:rPr>
        <w:t xml:space="preserve"> saati bitiminde sona erecektir.</w:t>
      </w: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Örnek 1:</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Vergi dairesinin 16 Haziran 2016 tarihli ve mükellef (M)’ye tebliğ tarihinden itibaren 30 gün içinde yerine getirilmesi istenilen bilgi isteme talebine ilişkin yazısı, posta idaresince 21 Haziran 2016 tarihinde mükellefe tebliğ edilmiştir.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Mükellefe tanınan 30 günlük idari süre, 21 Temmuz 2016 tarihinde bittiğinden ve bu tarih de mali tatil süresinin sona erdiği günü izleyen beş günlük süre içinde yer aldığından, söz konusu süre 25 Temmuz 2016 tarihinde (bu tarih dahil) sona erecektir.</w:t>
      </w: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Örnek 2:</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Mükellef (N) adına yapılan ikmalen tarhiyata ilişkin olarak düzenlenen vergi/ceza ihbarnamesi 22 Haziran 2016 tarihinde mükellefe tebliğ edilmiştir. Tarhiyat sonrası uzlaşma talebinin, vergi/ceza ihbarnamesinin tebliğ tarihinden itibaren 30 gün içinde yapılması gerekmektedir. Ancak bu sürenin son günü olan 22 Temmuz 2016 tarihi, mali tatilin sona erdiği günü izleyen beş günlük süre içinde yer aldığından, mükellefin uzlaşma talep etme süresi 25 Temmuz 2016 tarihine kadar (bu tarih dahil) uzayacaktır.</w:t>
      </w: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Örnek 3:</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Mükellef (O)'nun, Gelir Vergisi Kanununun 98 inci maddesi uyarınca ertesi ayın 23 üncü günü akşamına kadar ilgili vergi dairesine vermesi gereken Haziran/2016 dönemine ait gelir (stopaj) vergisine ilişkin muhtasar beyannamenin verilme süresi 25 Temmuz 2016 (23, 24 Temmuz 2016 tarihleri resmi tatile rastladığından) tarihi olacak, mali tatil nedeniyle ayrıca bir süre uzatımı olmayacaktır. Bu beyannameye göre tahakkuk eden vergi de 26 Temmuz 2016 tarihine kadar (bu tarih dahil) ödenecektir.”</w:t>
      </w: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MADDE 3 –</w:t>
      </w:r>
      <w:r w:rsidRPr="00322CAB">
        <w:rPr>
          <w:lang w:val="tr-TR" w:eastAsia="tr-TR"/>
        </w:rPr>
        <w:t> Aynı Tebliğin “</w:t>
      </w:r>
      <w:r w:rsidRPr="00322CAB">
        <w:rPr>
          <w:b/>
          <w:bCs/>
          <w:lang w:val="tr-TR" w:eastAsia="tr-TR"/>
        </w:rPr>
        <w:t>9. Beyanname verme süresi mali tatil nedeniyle uzamış olan vergilerde ödeme süresi</w:t>
      </w:r>
      <w:r w:rsidRPr="00322CAB">
        <w:rPr>
          <w:lang w:val="tr-TR" w:eastAsia="tr-TR"/>
        </w:rPr>
        <w:t>” başlıklı bölümünün birinci ve ikinci paragrafları aşağıdaki şekilde değiştirilmiş ve ikinci paragraftan sonra gelmek üzere aşağıdaki örnekler eklenmiştir.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“6661 sayılı Kanun ile 5604 sayılı Kanunun 1 inci maddesinin sekizinci fıkrasında yer alan hüküm, "Beyana dayanan ve beyanname verme süresi malî tatil nedeniyle uzamış olan vergilerde ödeme süresi (aynı ay içerisinde kalmak kaydıyla), uzayan beyanname verme süresinin son gününü izleyen günün mesai saati bitimine kadar uzamış sayılır." şeklinde değiştirilmiştir.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Mali tatil kapsamında olan ve bu Tebliğin "Diğer hususlar" başlıklı 10 numaralı bölümünde belirtilenler hariç olmak üzere,</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lastRenderedPageBreak/>
        <w:t>- Verilme süresinin son günü mali tatil süresine rastlayan vergilere ilişkin beyannamelerin verilme süresi, 2016 yılı için 27 Temmuz 2016 tarihi, bu beyannamelere göre tahakkuk eden vergilerin ödeme süresi de 28 Temmuz 2016 tarihi,</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 Verilme süresinin son günü mali tatilin son gününü izleyen tarihten itibaren beşinci günü mesai saati bitimine kadar olan vergilere ilişkin beyannamelerin verilme süresi, 2016 yılı için 25 Temmuz 2016 tarihi, bu beyannamelere göre tahakkuk eden vergilerin ödeme süresi de 26 Temmuz 2016 tarihi,</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mesai saati bitimi olacaktır.”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w:t>
      </w:r>
      <w:r w:rsidRPr="00322CAB">
        <w:rPr>
          <w:b/>
          <w:bCs/>
          <w:lang w:val="tr-TR" w:eastAsia="tr-TR"/>
        </w:rPr>
        <w:t>Örnek 1:</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Haziran/2016 dönemine ait 5602 sayılı Kanunda tanımlanan şans oyunlarıyla ilgili veraset ve intikal vergisi beyannamesinin, 20 Temmuz 2016 tarihi mesai saati sonuna kadar verilmesi gerekmekle birlikte, bu tarih mali tatil süresine rastladığından, söz konusu beyannamenin verilme süresi 27 Temmuz 2016 tarihine kadar (bu tarih dahil), bu beyannameye göre tahakkuk eden verginin ödeme süresi de 28 Temmuz 2016 tarihine kadar (bu tarih dahil) uzayacaktır.</w:t>
      </w: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Örnek 2:</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Haziran/2016 dönemine ait katma değer vergisi beyannamesinin verilme süresi 25 Temmuz 2016 (24 Temmuz 2016 tarihi resmi tatile rastladığından) tarihi olacak, mali tatil nedeniyle ayrıca bir süre uzatımı olmayacaktır. Bu beyannameye göre tahakkuk eden vergi de 26 Temmuz 2016 tarihine kadar (bu tarih dahil) ödenecektir.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Haziran/2017 dönemine ait katma değer vergisi beyannamesinin verilme süresinin son günü olan 24 Temmuz 2017 tarihi ise mali tatilin son gününü izleyen tarihten itibaren beş günlük süre içerisine rastladığından, söz konusu beyannamenin verilme süresi 25 Temmuz 2017 tarihine kadar (bu tarih dahil) uzayacak olup bu beyannameye göre tahakkuk eden vergi 26 Temmuz 2017 tarihine kadar (bu tarih dahil) ödenecektir.”</w:t>
      </w:r>
    </w:p>
    <w:p w:rsidR="000E7BD7" w:rsidRPr="00322CAB" w:rsidRDefault="000E7BD7" w:rsidP="000E7BD7">
      <w:pPr>
        <w:shd w:val="clear" w:color="auto" w:fill="FFFFFF"/>
        <w:spacing w:after="150" w:line="330" w:lineRule="atLeast"/>
        <w:jc w:val="both"/>
        <w:rPr>
          <w:lang w:val="tr-TR" w:eastAsia="tr-TR"/>
        </w:rPr>
      </w:pPr>
      <w:r w:rsidRPr="00322CAB">
        <w:rPr>
          <w:b/>
          <w:bCs/>
          <w:lang w:val="tr-TR" w:eastAsia="tr-TR"/>
        </w:rPr>
        <w:t>MADDE 4 – </w:t>
      </w:r>
      <w:r w:rsidRPr="00322CAB">
        <w:rPr>
          <w:lang w:val="tr-TR" w:eastAsia="tr-TR"/>
        </w:rPr>
        <w:t>Aynı Tebliğin “</w:t>
      </w:r>
      <w:r w:rsidRPr="00322CAB">
        <w:rPr>
          <w:b/>
          <w:bCs/>
          <w:lang w:val="tr-TR" w:eastAsia="tr-TR"/>
        </w:rPr>
        <w:t>10. Diğer Hususlar</w:t>
      </w:r>
      <w:r w:rsidRPr="00322CAB">
        <w:rPr>
          <w:lang w:val="tr-TR" w:eastAsia="tr-TR"/>
        </w:rPr>
        <w:t>” başlıklı bölümü aşağıdaki şekilde değiştirilmiştir.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“Aşağıda belirtilen sürelerin mali tatil nedeniyle uzaması söz konusu olmayacaktır.</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 İcra yoluyla yapılan satışlarda katma değer vergisi uygulamasına yönelik (5) No.lu katma değer vergisi beyannamesinin, 26/4/2014 tarihli ve 28983 sayılı Resmî Gazete’de yayımlanan Katma Değer Vergisi Genel Uygulama Tebliğinin (I/B-6.2.2) bölümünde belirtilen verilme ve ödeme süreleri,</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 Sürekli beyanname vermek zorunda olanlar dışındaki resmî kuruluşlar tarafından müzayede mahallerindeki satışlar dolayısıyla tahsil edilen katma değer vergisinin, Katma Değer Vergisi Genel Uygulama Tebliğinin (I/B-6.1) bölümünde belirtilen ödeme süresi,</w:t>
      </w:r>
    </w:p>
    <w:p w:rsidR="000E7BD7" w:rsidRPr="00322CAB" w:rsidRDefault="000E7BD7" w:rsidP="000E7BD7">
      <w:pPr>
        <w:shd w:val="clear" w:color="auto" w:fill="FFFFFF"/>
        <w:spacing w:after="150" w:line="330" w:lineRule="atLeast"/>
        <w:jc w:val="both"/>
        <w:rPr>
          <w:lang w:val="tr-TR" w:eastAsia="tr-TR"/>
        </w:rPr>
      </w:pPr>
      <w:r w:rsidRPr="00322CAB">
        <w:rPr>
          <w:lang w:val="tr-TR" w:eastAsia="tr-TR"/>
        </w:rPr>
        <w:t xml:space="preserve">- 18/1/1972 tarihli ve 1512 sayılı Noterlik Kanununun 118 inci maddesine göre noterler tarafından tahsil edilen damga vergisi ve harç bedellerinin anılan Kanunun 119 uncu maddesi uyarınca ilgili vergi dairesine bildirilmesine ilişkin olarak verilecek beyannameler ile süreksiz </w:t>
      </w:r>
      <w:r w:rsidRPr="00322CAB">
        <w:rPr>
          <w:lang w:val="tr-TR" w:eastAsia="tr-TR"/>
        </w:rPr>
        <w:lastRenderedPageBreak/>
        <w:t>yükümlülük şeklinde değerlendirilen ve 2/7/1964 tarihli ve 492 sayılı Harçlar Kanununa göre verilen (1) ve (4) No.lu beyannamelerin verilme ve ödeme süreleri.”</w:t>
      </w:r>
    </w:p>
    <w:p w:rsidR="00187162" w:rsidRPr="00322CAB" w:rsidRDefault="000E7BD7" w:rsidP="000A65F5">
      <w:pPr>
        <w:shd w:val="clear" w:color="auto" w:fill="FFFFFF"/>
        <w:spacing w:after="150" w:line="330" w:lineRule="atLeast"/>
        <w:jc w:val="both"/>
        <w:rPr>
          <w:lang w:val="tr-TR" w:eastAsia="tr-TR"/>
        </w:rPr>
      </w:pPr>
      <w:r w:rsidRPr="00322CAB">
        <w:rPr>
          <w:b/>
          <w:bCs/>
          <w:lang w:val="tr-TR" w:eastAsia="tr-TR"/>
        </w:rPr>
        <w:t>MADDE 5 –</w:t>
      </w:r>
      <w:r w:rsidRPr="00322CAB">
        <w:rPr>
          <w:lang w:val="tr-TR" w:eastAsia="tr-TR"/>
        </w:rPr>
        <w:t> Bu Tebliğ hü</w:t>
      </w:r>
      <w:r w:rsidR="000A65F5" w:rsidRPr="00322CAB">
        <w:rPr>
          <w:lang w:val="tr-TR" w:eastAsia="tr-TR"/>
        </w:rPr>
        <w:t>kümlerini Maliye Bakanı yürütür.</w:t>
      </w:r>
    </w:p>
    <w:sectPr w:rsidR="00187162" w:rsidRPr="00322CAB"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48" w:rsidRDefault="00B91B48" w:rsidP="00053CFC">
      <w:r>
        <w:separator/>
      </w:r>
    </w:p>
  </w:endnote>
  <w:endnote w:type="continuationSeparator" w:id="0">
    <w:p w:rsidR="00B91B48" w:rsidRDefault="00B91B48"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FB" w:rsidRDefault="000F4B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570DEC">
    <w:pPr>
      <w:pStyle w:val="AltBilgi"/>
      <w:jc w:val="center"/>
    </w:pPr>
  </w:p>
  <w:p w:rsidR="00570DEC" w:rsidRDefault="00CD6CC3">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extLst>
                      <a:ext uri="{28A0092B-C50C-407E-A947-70E740481C1C}">
                        <a14:useLocalDpi xmlns:a14="http://schemas.microsoft.com/office/drawing/2010/main" val="0"/>
                      </a:ext>
                    </a:extLst>
                  </a:blip>
                  <a:srcRect t="4167" r="36708"/>
                  <a:stretch>
                    <a:fillRect/>
                  </a:stretch>
                </pic:blipFill>
                <pic:spPr bwMode="auto">
                  <a:xfrm>
                    <a:off x="0" y="0"/>
                    <a:ext cx="45339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CD6CC3">
    <w:pPr>
      <w:pStyle w:val="AltBilgi"/>
    </w:pPr>
    <w:r>
      <w:rPr>
        <w:noProof/>
        <w:lang w:val="tr-TR" w:eastAsia="tr-TR"/>
      </w:rPr>
      <w:drawing>
        <wp:anchor distT="0" distB="0" distL="114300" distR="114300" simplePos="0" relativeHeight="251659264" behindDoc="0" locked="0" layoutInCell="1" allowOverlap="1">
          <wp:simplePos x="0" y="0"/>
          <wp:positionH relativeFrom="column">
            <wp:posOffset>-900430</wp:posOffset>
          </wp:positionH>
          <wp:positionV relativeFrom="paragraph">
            <wp:posOffset>-55245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48" w:rsidRDefault="00B91B48" w:rsidP="00053CFC">
      <w:r>
        <w:separator/>
      </w:r>
    </w:p>
  </w:footnote>
  <w:footnote w:type="continuationSeparator" w:id="0">
    <w:p w:rsidR="00B91B48" w:rsidRDefault="00B91B48" w:rsidP="0005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FB" w:rsidRDefault="000F4B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CD6CC3"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CD6CC3">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15:restartNumberingAfterBreak="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51B"/>
    <w:rsid w:val="00025E27"/>
    <w:rsid w:val="0002652B"/>
    <w:rsid w:val="00027ACF"/>
    <w:rsid w:val="000307A9"/>
    <w:rsid w:val="00031F56"/>
    <w:rsid w:val="000324D1"/>
    <w:rsid w:val="00033F58"/>
    <w:rsid w:val="00035469"/>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65F5"/>
    <w:rsid w:val="000A7167"/>
    <w:rsid w:val="000B07BE"/>
    <w:rsid w:val="000B3269"/>
    <w:rsid w:val="000B5C24"/>
    <w:rsid w:val="000C3D37"/>
    <w:rsid w:val="000D0660"/>
    <w:rsid w:val="000D38D7"/>
    <w:rsid w:val="000D3EAB"/>
    <w:rsid w:val="000D5B37"/>
    <w:rsid w:val="000E5462"/>
    <w:rsid w:val="000E7B06"/>
    <w:rsid w:val="000E7BD7"/>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6DE5"/>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1AE6"/>
    <w:rsid w:val="001726E5"/>
    <w:rsid w:val="0017484E"/>
    <w:rsid w:val="00181126"/>
    <w:rsid w:val="00182893"/>
    <w:rsid w:val="00187162"/>
    <w:rsid w:val="00187B08"/>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076"/>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2CAB"/>
    <w:rsid w:val="00325529"/>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12"/>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DC9"/>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346A"/>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AFF"/>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6F692A"/>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1B48"/>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27F"/>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0C0A"/>
    <w:rsid w:val="00C62FE6"/>
    <w:rsid w:val="00C633D7"/>
    <w:rsid w:val="00C63418"/>
    <w:rsid w:val="00C63896"/>
    <w:rsid w:val="00C650CE"/>
    <w:rsid w:val="00C70221"/>
    <w:rsid w:val="00C70CE6"/>
    <w:rsid w:val="00C745A3"/>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5E1F"/>
    <w:rsid w:val="00CB6772"/>
    <w:rsid w:val="00CB694E"/>
    <w:rsid w:val="00CC0A1B"/>
    <w:rsid w:val="00CC150E"/>
    <w:rsid w:val="00CC3912"/>
    <w:rsid w:val="00CC5535"/>
    <w:rsid w:val="00CC5656"/>
    <w:rsid w:val="00CD0D74"/>
    <w:rsid w:val="00CD5CF9"/>
    <w:rsid w:val="00CD6B0F"/>
    <w:rsid w:val="00CD6CC3"/>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2866"/>
    <w:rsid w:val="00DC43DE"/>
    <w:rsid w:val="00DC5022"/>
    <w:rsid w:val="00DC687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1FE5"/>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3F0B9"/>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 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 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0338">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73750705">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291984201">
      <w:bodyDiv w:val="1"/>
      <w:marLeft w:val="0"/>
      <w:marRight w:val="0"/>
      <w:marTop w:val="0"/>
      <w:marBottom w:val="0"/>
      <w:divBdr>
        <w:top w:val="none" w:sz="0" w:space="0" w:color="auto"/>
        <w:left w:val="none" w:sz="0" w:space="0" w:color="auto"/>
        <w:bottom w:val="none" w:sz="0" w:space="0" w:color="auto"/>
        <w:right w:val="none" w:sz="0" w:space="0" w:color="auto"/>
      </w:divBdr>
      <w:divsChild>
        <w:div w:id="311951859">
          <w:marLeft w:val="0"/>
          <w:marRight w:val="0"/>
          <w:marTop w:val="0"/>
          <w:marBottom w:val="300"/>
          <w:divBdr>
            <w:top w:val="none" w:sz="0" w:space="0" w:color="auto"/>
            <w:left w:val="none" w:sz="0" w:space="0" w:color="auto"/>
            <w:bottom w:val="none" w:sz="0" w:space="0" w:color="auto"/>
            <w:right w:val="none" w:sz="0" w:space="0" w:color="auto"/>
          </w:divBdr>
          <w:divsChild>
            <w:div w:id="299000523">
              <w:marLeft w:val="0"/>
              <w:marRight w:val="0"/>
              <w:marTop w:val="0"/>
              <w:marBottom w:val="0"/>
              <w:divBdr>
                <w:top w:val="none" w:sz="0" w:space="0" w:color="auto"/>
                <w:left w:val="none" w:sz="0" w:space="0" w:color="auto"/>
                <w:bottom w:val="none" w:sz="0" w:space="0" w:color="auto"/>
                <w:right w:val="none" w:sz="0" w:space="0" w:color="auto"/>
              </w:divBdr>
              <w:divsChild>
                <w:div w:id="1393650814">
                  <w:marLeft w:val="0"/>
                  <w:marRight w:val="0"/>
                  <w:marTop w:val="0"/>
                  <w:marBottom w:val="0"/>
                  <w:divBdr>
                    <w:top w:val="none" w:sz="0" w:space="0" w:color="auto"/>
                    <w:left w:val="none" w:sz="0" w:space="0" w:color="auto"/>
                    <w:bottom w:val="none" w:sz="0" w:space="0" w:color="auto"/>
                    <w:right w:val="none" w:sz="0" w:space="0" w:color="auto"/>
                  </w:divBdr>
                </w:div>
                <w:div w:id="1154679755">
                  <w:marLeft w:val="0"/>
                  <w:marRight w:val="0"/>
                  <w:marTop w:val="0"/>
                  <w:marBottom w:val="0"/>
                  <w:divBdr>
                    <w:top w:val="none" w:sz="0" w:space="0" w:color="auto"/>
                    <w:left w:val="none" w:sz="0" w:space="0" w:color="auto"/>
                    <w:bottom w:val="none" w:sz="0" w:space="0" w:color="auto"/>
                    <w:right w:val="none" w:sz="0" w:space="0" w:color="auto"/>
                  </w:divBdr>
                  <w:divsChild>
                    <w:div w:id="10529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8394">
              <w:marLeft w:val="0"/>
              <w:marRight w:val="0"/>
              <w:marTop w:val="0"/>
              <w:marBottom w:val="0"/>
              <w:divBdr>
                <w:top w:val="none" w:sz="0" w:space="0" w:color="auto"/>
                <w:left w:val="none" w:sz="0" w:space="0" w:color="auto"/>
                <w:bottom w:val="none" w:sz="0" w:space="0" w:color="auto"/>
                <w:right w:val="none" w:sz="0" w:space="0" w:color="auto"/>
              </w:divBdr>
              <w:divsChild>
                <w:div w:id="446894519">
                  <w:marLeft w:val="0"/>
                  <w:marRight w:val="0"/>
                  <w:marTop w:val="0"/>
                  <w:marBottom w:val="0"/>
                  <w:divBdr>
                    <w:top w:val="none" w:sz="0" w:space="0" w:color="auto"/>
                    <w:left w:val="none" w:sz="0" w:space="0" w:color="auto"/>
                    <w:bottom w:val="none" w:sz="0" w:space="0" w:color="auto"/>
                    <w:right w:val="none" w:sz="0" w:space="0" w:color="auto"/>
                  </w:divBdr>
                </w:div>
                <w:div w:id="1389717875">
                  <w:marLeft w:val="0"/>
                  <w:marRight w:val="0"/>
                  <w:marTop w:val="0"/>
                  <w:marBottom w:val="0"/>
                  <w:divBdr>
                    <w:top w:val="none" w:sz="0" w:space="0" w:color="auto"/>
                    <w:left w:val="none" w:sz="0" w:space="0" w:color="auto"/>
                    <w:bottom w:val="none" w:sz="0" w:space="0" w:color="auto"/>
                    <w:right w:val="none" w:sz="0" w:space="0" w:color="auto"/>
                  </w:divBdr>
                  <w:divsChild>
                    <w:div w:id="9311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1915">
          <w:marLeft w:val="0"/>
          <w:marRight w:val="0"/>
          <w:marTop w:val="0"/>
          <w:marBottom w:val="0"/>
          <w:divBdr>
            <w:top w:val="none" w:sz="0" w:space="0" w:color="auto"/>
            <w:left w:val="none" w:sz="0" w:space="0" w:color="auto"/>
            <w:bottom w:val="none" w:sz="0" w:space="0" w:color="auto"/>
            <w:right w:val="none" w:sz="0" w:space="0" w:color="auto"/>
          </w:divBdr>
          <w:divsChild>
            <w:div w:id="1423648866">
              <w:marLeft w:val="0"/>
              <w:marRight w:val="0"/>
              <w:marTop w:val="0"/>
              <w:marBottom w:val="0"/>
              <w:divBdr>
                <w:top w:val="none" w:sz="0" w:space="0" w:color="auto"/>
                <w:left w:val="none" w:sz="0" w:space="0" w:color="auto"/>
                <w:bottom w:val="none" w:sz="0" w:space="0" w:color="auto"/>
                <w:right w:val="none" w:sz="0" w:space="0" w:color="auto"/>
              </w:divBdr>
              <w:divsChild>
                <w:div w:id="13351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3491">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1081265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Taner Ogün Kınalı</cp:lastModifiedBy>
  <cp:revision>2</cp:revision>
  <cp:lastPrinted>2013-07-10T11:55:00Z</cp:lastPrinted>
  <dcterms:created xsi:type="dcterms:W3CDTF">2016-07-01T11:52:00Z</dcterms:created>
  <dcterms:modified xsi:type="dcterms:W3CDTF">2016-07-01T11:52:00Z</dcterms:modified>
</cp:coreProperties>
</file>